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8"/>
          <w:szCs w:val="48"/>
        </w:rPr>
      </w:pPr>
    </w:p>
    <w:p>
      <w:pPr>
        <w:jc w:val="center"/>
        <w:rPr>
          <w:rFonts w:ascii="黑体" w:eastAsia="黑体"/>
          <w:b/>
          <w:sz w:val="48"/>
          <w:szCs w:val="4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hAnsi="Times New Roman" w:eastAsia="黑体" w:cs="Times New Roman"/>
          <w:b/>
          <w:sz w:val="48"/>
          <w:szCs w:val="48"/>
          <w:lang w:eastAsia="zh-CN"/>
        </w:rPr>
        <w:t>翁源县管道天然气管网系统及配套设施建设项目-翁城LNG气化站</w:t>
      </w: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b/>
          <w:sz w:val="56"/>
          <w:szCs w:val="56"/>
        </w:rPr>
      </w:pPr>
      <w:r>
        <w:rPr>
          <w:rFonts w:hint="eastAsia" w:ascii="宋体" w:hAnsi="宋体"/>
          <w:b/>
          <w:sz w:val="56"/>
          <w:szCs w:val="56"/>
        </w:rPr>
        <w:t>LNG储罐</w:t>
      </w:r>
    </w:p>
    <w:p>
      <w:pPr>
        <w:jc w:val="center"/>
        <w:rPr>
          <w:rFonts w:ascii="宋体" w:hAnsi="宋体"/>
          <w:sz w:val="72"/>
          <w:szCs w:val="72"/>
        </w:rPr>
      </w:pPr>
      <w:r>
        <w:rPr>
          <w:rFonts w:hint="eastAsia" w:ascii="宋体" w:hAnsi="宋体"/>
          <w:b/>
          <w:sz w:val="56"/>
          <w:szCs w:val="56"/>
        </w:rPr>
        <w:t>技术规格书</w:t>
      </w: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 w:val="36"/>
          <w:szCs w:val="36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32"/>
          <w:szCs w:val="32"/>
        </w:rPr>
      </w:pPr>
      <w:r>
        <w:rPr>
          <w:rFonts w:ascii="宋体" w:hAnsi="宋体"/>
          <w:position w:val="6"/>
          <w:sz w:val="32"/>
          <w:szCs w:val="32"/>
        </w:rPr>
        <w:pict>
          <v:shape id="_x0000_i1025" o:spt="75" type="#_x0000_t75" style="height:6.95pt;width:419.4pt;" filled="f" o:preferrelative="t" stroked="f" coordsize="21600,21600" o:hr="t" o:hrpct="0" o:hralign="center">
            <v:path/>
            <v:fill on="f" focussize="0,0"/>
            <v:stroke on="f" joinstyle="miter"/>
            <v:imagedata r:id="rId16" o:title="j0115875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jc w:val="center"/>
        <w:rPr>
          <w:rFonts w:ascii="宋体" w:hAnsi="宋体"/>
          <w:b/>
          <w:position w:val="6"/>
          <w:sz w:val="48"/>
          <w:szCs w:val="48"/>
        </w:rPr>
      </w:pPr>
      <w:r>
        <w:rPr>
          <w:rFonts w:ascii="Times New Roman" w:hAnsi="Times New Roman"/>
          <w:color w:val="auto"/>
        </w:rPr>
        <w:drawing>
          <wp:inline distT="0" distB="0" distL="114300" distR="114300">
            <wp:extent cx="457200" cy="505460"/>
            <wp:effectExtent l="0" t="0" r="0" b="8890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8"/>
          <w:szCs w:val="48"/>
          <w:vertAlign w:val="superscript"/>
        </w:rPr>
        <w:t>中国市政工程西南设计研究总院有限公司</w:t>
      </w:r>
    </w:p>
    <w:p>
      <w:pPr>
        <w:adjustRightInd w:val="0"/>
        <w:snapToGrid w:val="0"/>
        <w:jc w:val="center"/>
        <w:rPr>
          <w:rFonts w:ascii="宋体" w:hAnsi="宋体"/>
          <w:position w:val="6"/>
          <w:sz w:val="32"/>
          <w:szCs w:val="32"/>
        </w:rPr>
      </w:pPr>
      <w:r>
        <w:rPr>
          <w:rFonts w:ascii="宋体" w:hAnsi="宋体"/>
          <w:position w:val="6"/>
          <w:sz w:val="32"/>
          <w:szCs w:val="32"/>
        </w:rPr>
        <w:pict>
          <v:shape id="_x0000_i1026" o:spt="75" type="#_x0000_t75" style="height:6.95pt;width:419.4pt;" filled="f" o:preferrelative="t" stroked="f" coordsize="21600,21600" o:hr="t" o:hrpct="0" o:hralign="center">
            <v:path/>
            <v:fill on="f" focussize="0,0"/>
            <v:stroke on="f" joinstyle="miter"/>
            <v:imagedata r:id="rId16" o:title="j0115875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jc w:val="center"/>
        <w:rPr>
          <w:rFonts w:hint="eastAsia" w:ascii="宋体" w:hAnsi="宋体"/>
          <w:b/>
          <w:sz w:val="44"/>
          <w:szCs w:val="44"/>
          <w:vertAlign w:val="superscript"/>
        </w:rPr>
      </w:pPr>
      <w:r>
        <w:rPr>
          <w:rFonts w:hint="eastAsia" w:ascii="宋体" w:hAnsi="宋体"/>
          <w:b/>
          <w:sz w:val="44"/>
          <w:szCs w:val="44"/>
          <w:vertAlign w:val="superscript"/>
        </w:rPr>
        <w:t>202</w:t>
      </w:r>
      <w:r>
        <w:rPr>
          <w:rFonts w:hint="eastAsia" w:ascii="宋体" w:hAnsi="宋体"/>
          <w:b/>
          <w:sz w:val="44"/>
          <w:szCs w:val="44"/>
          <w:vertAlign w:val="superscript"/>
          <w:lang w:val="en-US" w:eastAsia="zh-CN"/>
        </w:rPr>
        <w:t>5</w:t>
      </w:r>
      <w:r>
        <w:rPr>
          <w:rFonts w:hint="eastAsia" w:ascii="宋体" w:hAnsi="宋体"/>
          <w:b/>
          <w:sz w:val="44"/>
          <w:szCs w:val="44"/>
          <w:vertAlign w:val="superscript"/>
        </w:rPr>
        <w:t>年</w:t>
      </w:r>
      <w:r>
        <w:rPr>
          <w:rFonts w:hint="eastAsia" w:ascii="宋体" w:hAnsi="宋体"/>
          <w:b/>
          <w:sz w:val="44"/>
          <w:szCs w:val="44"/>
          <w:vertAlign w:val="superscript"/>
          <w:lang w:val="en-US" w:eastAsia="zh-CN"/>
        </w:rPr>
        <w:t>11</w:t>
      </w:r>
      <w:r>
        <w:rPr>
          <w:rFonts w:hint="eastAsia" w:ascii="宋体" w:hAnsi="宋体"/>
          <w:b/>
          <w:sz w:val="44"/>
          <w:szCs w:val="44"/>
          <w:vertAlign w:val="superscript"/>
        </w:rPr>
        <w:t>月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tabs>
          <w:tab w:val="left" w:pos="6716"/>
        </w:tabs>
        <w:bidi w:val="0"/>
        <w:jc w:val="left"/>
        <w:rPr>
          <w:rFonts w:hint="eastAsia"/>
          <w:lang w:val="en-US" w:eastAsia="zh-CN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907" w:h="16840" w:orient="landscape"/>
          <w:pgMar w:top="1440" w:right="1797" w:bottom="1440" w:left="179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/>
          <w:lang w:val="en-US" w:eastAsia="zh-CN"/>
        </w:rPr>
        <w:tab/>
      </w:r>
    </w:p>
    <w:p>
      <w:pPr>
        <w:pStyle w:val="3"/>
        <w:adjustRightInd w:val="0"/>
        <w:snapToGrid w:val="0"/>
        <w:spacing w:before="0" w:after="0"/>
        <w:rPr>
          <w:rFonts w:hAnsi="黑体"/>
          <w:kern w:val="44"/>
          <w:sz w:val="30"/>
        </w:rPr>
      </w:pPr>
      <w:r>
        <w:rPr>
          <w:rFonts w:hint="eastAsia" w:ascii="黑体" w:hAnsi="黑体"/>
          <w:kern w:val="44"/>
          <w:sz w:val="30"/>
        </w:rPr>
        <w:t xml:space="preserve">1. </w:t>
      </w:r>
      <w:r>
        <w:rPr>
          <w:rFonts w:hAnsi="黑体"/>
          <w:kern w:val="44"/>
          <w:sz w:val="30"/>
        </w:rPr>
        <w:t>总则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（1）</w:t>
      </w:r>
      <w:r>
        <w:rPr>
          <w:rFonts w:ascii="宋体" w:hAnsi="宋体" w:cs="Times New Roman"/>
          <w:sz w:val="24"/>
          <w:szCs w:val="24"/>
        </w:rPr>
        <w:t>本技术规格书</w:t>
      </w:r>
      <w:r>
        <w:rPr>
          <w:rFonts w:hint="eastAsia" w:ascii="宋体" w:hAnsi="宋体" w:cs="Times New Roman"/>
          <w:sz w:val="24"/>
          <w:szCs w:val="24"/>
        </w:rPr>
        <w:t>适</w:t>
      </w:r>
      <w:r>
        <w:rPr>
          <w:rFonts w:ascii="宋体" w:hAnsi="宋体" w:cs="Times New Roman"/>
          <w:sz w:val="24"/>
          <w:szCs w:val="24"/>
        </w:rPr>
        <w:t>用于</w:t>
      </w:r>
      <w:r>
        <w:rPr>
          <w:rFonts w:hint="eastAsia" w:ascii="宋体" w:hAnsi="宋体" w:cs="Times New Roman"/>
          <w:sz w:val="24"/>
          <w:szCs w:val="24"/>
          <w:lang w:eastAsia="zh-CN"/>
        </w:rPr>
        <w:t>翁源县管道天然气管网系统及配套设施建设项目-翁城LNG气化站</w:t>
      </w:r>
      <w:r>
        <w:rPr>
          <w:rFonts w:hint="eastAsia" w:ascii="宋体" w:hAnsi="宋体" w:cs="Times New Roman"/>
          <w:sz w:val="24"/>
          <w:szCs w:val="24"/>
        </w:rPr>
        <w:t>项目</w:t>
      </w:r>
      <w:r>
        <w:rPr>
          <w:rFonts w:ascii="宋体" w:hAnsi="宋体" w:cs="Times New Roman"/>
          <w:sz w:val="24"/>
          <w:szCs w:val="24"/>
        </w:rPr>
        <w:t>，</w:t>
      </w:r>
      <w:r>
        <w:rPr>
          <w:rFonts w:hint="eastAsia" w:ascii="宋体" w:hAnsi="宋体" w:cs="Times New Roman"/>
          <w:sz w:val="24"/>
          <w:szCs w:val="24"/>
          <w:lang w:eastAsia="zh-CN"/>
        </w:rPr>
        <w:t>主要</w:t>
      </w:r>
      <w:r>
        <w:rPr>
          <w:rFonts w:ascii="宋体" w:hAnsi="宋体"/>
          <w:sz w:val="24"/>
          <w:szCs w:val="24"/>
        </w:rPr>
        <w:t>提出了</w:t>
      </w:r>
      <w:r>
        <w:rPr>
          <w:rFonts w:hint="eastAsia" w:ascii="宋体" w:hAnsi="宋体"/>
          <w:sz w:val="24"/>
          <w:szCs w:val="24"/>
        </w:rPr>
        <w:t>LNG储罐</w:t>
      </w:r>
      <w:r>
        <w:rPr>
          <w:rFonts w:ascii="宋体" w:hAnsi="宋体"/>
          <w:sz w:val="24"/>
          <w:szCs w:val="24"/>
        </w:rPr>
        <w:t>的主要功能设计、结构、性能、安装和调试等方面的技术要求。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（2）本设备技术规格书提出的是最低限度</w:t>
      </w:r>
      <w:bookmarkStart w:id="0" w:name="_GoBack"/>
      <w:bookmarkEnd w:id="0"/>
      <w:r>
        <w:rPr>
          <w:rFonts w:ascii="宋体" w:hAnsi="宋体"/>
          <w:sz w:val="24"/>
          <w:szCs w:val="24"/>
        </w:rPr>
        <w:t>的技术要求，并未对一切技术细节作出规定，也未充分引述有关标准和规范的条文，投标方应提供符合或优于本规范书的优质产品。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（3）如果投标方没有以书面形式对本规格书的条文提出异议，则意味着投标方提供的设备完全符合本规格书的要求。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（4）本设备技术规范书未尽事宜，由买、卖双方协商确定。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</w:t>
      </w:r>
      <w:r>
        <w:rPr>
          <w:rFonts w:hint="eastAsia" w:ascii="宋体" w:hAnsi="宋体"/>
          <w:sz w:val="24"/>
          <w:szCs w:val="24"/>
          <w:lang w:val="en-GB"/>
        </w:rPr>
        <w:t>本技术规格书用到的名称定义如下：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翁源县管道天然气管网系统及配套设施建设项目-翁城LNG气化站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业主：粤北</w:t>
      </w:r>
      <w:r>
        <w:rPr>
          <w:rFonts w:hint="eastAsia" w:ascii="宋体" w:hAnsi="宋体" w:eastAsia="宋体"/>
          <w:sz w:val="24"/>
          <w:szCs w:val="24"/>
          <w:lang w:eastAsia="zh-CN"/>
        </w:rPr>
        <w:t>城市燃气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eastAsia="zh-CN"/>
        </w:rPr>
        <w:t>翁源</w:t>
      </w:r>
      <w:r>
        <w:rPr>
          <w:rFonts w:hint="eastAsia" w:ascii="宋体" w:hAnsi="宋体" w:eastAsia="宋体"/>
          <w:sz w:val="24"/>
          <w:szCs w:val="24"/>
        </w:rPr>
        <w:t>）有限公司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设计：中国市政工程西南设计研究总院有限公司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供货商：是指按照本技术规格书的要求为业主设计、制造、提供成套设备的公司或厂家。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分包商：负责设计和制造分包合同所规定设备的公司或厂家。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成套设备：供货商供货范围内的完整的设备。</w:t>
      </w:r>
    </w:p>
    <w:p>
      <w:pPr>
        <w:pStyle w:val="7"/>
        <w:snapToGrid w:val="0"/>
        <w:spacing w:line="360" w:lineRule="auto"/>
        <w:ind w:left="420" w:right="210" w:rightChars="1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技术规格书：业主和设计提供的完整的技术规定，包括所附的数据单和附图等。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  <w:lang w:val="en-GB"/>
        </w:rPr>
      </w:pPr>
    </w:p>
    <w:p>
      <w:pPr>
        <w:pStyle w:val="3"/>
        <w:adjustRightInd w:val="0"/>
        <w:snapToGrid w:val="0"/>
        <w:spacing w:before="0" w:after="0"/>
        <w:rPr>
          <w:rFonts w:ascii="宋体" w:hAnsi="宋体"/>
          <w:kern w:val="44"/>
          <w:sz w:val="24"/>
          <w:szCs w:val="24"/>
        </w:rPr>
      </w:pPr>
      <w:r>
        <w:rPr>
          <w:rFonts w:hint="eastAsia" w:ascii="宋体" w:hAnsi="宋体"/>
          <w:kern w:val="44"/>
          <w:sz w:val="24"/>
          <w:szCs w:val="24"/>
        </w:rPr>
        <w:t>2. 项目情况说明</w:t>
      </w:r>
    </w:p>
    <w:p>
      <w:pPr>
        <w:adjustRightInd w:val="0"/>
        <w:snapToGrid w:val="0"/>
        <w:spacing w:line="360" w:lineRule="auto"/>
        <w:ind w:firstLine="470" w:firstLineChars="19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1、工程概述、储罐台数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eastAsia="zh-CN"/>
        </w:rPr>
        <w:t>翁城LNG气化站</w:t>
      </w:r>
      <w:r>
        <w:rPr>
          <w:rFonts w:hint="eastAsia" w:ascii="宋体" w:hAnsi="宋体" w:cs="Times New Roman"/>
          <w:sz w:val="24"/>
          <w:szCs w:val="24"/>
        </w:rPr>
        <w:t>位于韶关市</w:t>
      </w:r>
      <w:r>
        <w:rPr>
          <w:rFonts w:hint="eastAsia" w:ascii="宋体" w:hAnsi="宋体" w:cs="Times New Roman"/>
          <w:sz w:val="24"/>
          <w:szCs w:val="24"/>
          <w:lang w:eastAsia="zh-CN"/>
        </w:rPr>
        <w:t>翁源</w:t>
      </w:r>
      <w:r>
        <w:rPr>
          <w:rFonts w:hint="eastAsia" w:ascii="宋体" w:hAnsi="宋体" w:cs="Times New Roman"/>
          <w:sz w:val="24"/>
          <w:szCs w:val="24"/>
        </w:rPr>
        <w:t>县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翁城镇鹏晖工业园西侧</w:t>
      </w:r>
      <w:r>
        <w:rPr>
          <w:rFonts w:hint="eastAsia" w:ascii="宋体" w:hAnsi="宋体" w:cs="Times New Roman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本站共设置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台150m</w:t>
      </w:r>
      <w:r>
        <w:rPr>
          <w:rFonts w:hint="eastAsia" w:ascii="宋体" w:hAnsi="宋体"/>
          <w:sz w:val="24"/>
          <w:szCs w:val="24"/>
          <w:vertAlign w:val="superscript"/>
        </w:rPr>
        <w:t>3</w:t>
      </w:r>
      <w:r>
        <w:rPr>
          <w:rFonts w:hint="eastAsia" w:ascii="宋体" w:hAnsi="宋体"/>
          <w:sz w:val="24"/>
          <w:szCs w:val="24"/>
        </w:rPr>
        <w:t>的LNG储罐。</w:t>
      </w:r>
    </w:p>
    <w:p>
      <w:pPr>
        <w:adjustRightInd w:val="0"/>
        <w:snapToGrid w:val="0"/>
        <w:spacing w:line="360" w:lineRule="auto"/>
        <w:ind w:firstLine="470" w:firstLineChars="196"/>
        <w:rPr>
          <w:rFonts w:ascii="宋体" w:hAnsi="宋体"/>
          <w:b/>
          <w:sz w:val="24"/>
          <w:szCs w:val="24"/>
        </w:rPr>
        <w:sectPr>
          <w:headerReference r:id="rId8" w:type="first"/>
          <w:footerReference r:id="rId11" w:type="first"/>
          <w:footerReference r:id="rId9" w:type="default"/>
          <w:footerReference r:id="rId10" w:type="even"/>
          <w:pgSz w:w="11906" w:h="16838"/>
          <w:pgMar w:top="1418" w:right="1531" w:bottom="1246" w:left="1531" w:header="851" w:footer="851" w:gutter="0"/>
          <w:pgNumType w:start="1"/>
          <w:cols w:space="720" w:num="1"/>
          <w:titlePg/>
          <w:docGrid w:type="linesAndChars" w:linePitch="312" w:charSpace="0"/>
        </w:sectPr>
      </w:pPr>
    </w:p>
    <w:p>
      <w:pPr>
        <w:adjustRightInd w:val="0"/>
        <w:snapToGrid w:val="0"/>
        <w:spacing w:line="360" w:lineRule="auto"/>
        <w:ind w:firstLine="470" w:firstLineChars="19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2、环境条件</w:t>
      </w:r>
    </w:p>
    <w:p>
      <w:pPr>
        <w:adjustRightInd w:val="0"/>
        <w:snapToGrid w:val="0"/>
        <w:spacing w:line="360" w:lineRule="auto"/>
        <w:ind w:firstLine="470" w:firstLineChars="196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项目所在地属亚热带湿润季风气候区，全年均受季风影响，冬季盛行东北季风，夏季盛行西南和东南季风。四季特点为春季阴雨连绵，秋季降水偏少，冬季寒冷，夏季偏热。年平均气温18.8°C～21.6°C，最冷月份（1 月）平均气温8°C～11°C，最热月份（7 月）平均气温28°C～29°C，冬季各地气温自北向南递增，夏季各地气温较接近。</w:t>
      </w:r>
    </w:p>
    <w:p>
      <w:pPr>
        <w:adjustRightInd w:val="0"/>
        <w:snapToGrid w:val="0"/>
        <w:spacing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场</w:t>
      </w:r>
      <w:r>
        <w:rPr>
          <w:rFonts w:hint="eastAsia" w:ascii="宋体" w:hAnsi="宋体"/>
          <w:sz w:val="24"/>
          <w:szCs w:val="24"/>
        </w:rPr>
        <w:t>站的抗震设防烈度为6度，设计基本地震加速度值为0.05g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LNG储罐</w:t>
      </w:r>
      <w:r>
        <w:rPr>
          <w:rFonts w:ascii="宋体" w:hAnsi="宋体"/>
          <w:sz w:val="24"/>
          <w:szCs w:val="24"/>
        </w:rPr>
        <w:t xml:space="preserve">安装地点：户外(露天) </w:t>
      </w:r>
    </w:p>
    <w:p>
      <w:pPr>
        <w:adjustRightInd w:val="0"/>
        <w:snapToGrid w:val="0"/>
        <w:spacing w:line="360" w:lineRule="auto"/>
        <w:ind w:firstLine="470" w:firstLineChars="19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3、输送介质物性</w:t>
      </w:r>
    </w:p>
    <w:p>
      <w:pPr>
        <w:autoSpaceDE w:val="0"/>
        <w:autoSpaceDN w:val="0"/>
        <w:adjustRightInd w:val="0"/>
        <w:snapToGrid w:val="0"/>
        <w:spacing w:line="360" w:lineRule="auto"/>
        <w:ind w:left="4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1）、</w:t>
      </w:r>
      <w:r>
        <w:rPr>
          <w:rFonts w:hint="eastAsia" w:ascii="宋体" w:hAnsi="宋体" w:cs="宋体"/>
          <w:sz w:val="24"/>
          <w:szCs w:val="24"/>
        </w:rPr>
        <w:t>组分和摩尔百分含量（需业主确认）</w:t>
      </w:r>
    </w:p>
    <w:tbl>
      <w:tblPr>
        <w:tblStyle w:val="12"/>
        <w:tblW w:w="736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888"/>
        <w:gridCol w:w="1785"/>
        <w:gridCol w:w="1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70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分析项目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烃类%（体积）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分析项目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非烃类%（体积）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CH4</w:t>
            </w:r>
          </w:p>
        </w:tc>
        <w:tc>
          <w:tcPr>
            <w:tcW w:w="1888" w:type="dxa"/>
            <w:vAlign w:val="center"/>
          </w:tcPr>
          <w:p>
            <w:pPr>
              <w:pStyle w:val="6"/>
              <w:ind w:firstLine="480"/>
              <w:rPr>
                <w:szCs w:val="21"/>
              </w:rPr>
            </w:pPr>
            <w:r>
              <w:rPr>
                <w:sz w:val="24"/>
              </w:rPr>
              <w:t>91.46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N2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C2H6</w:t>
            </w:r>
          </w:p>
        </w:tc>
        <w:tc>
          <w:tcPr>
            <w:tcW w:w="1888" w:type="dxa"/>
            <w:vAlign w:val="center"/>
          </w:tcPr>
          <w:p>
            <w:pPr>
              <w:pStyle w:val="6"/>
              <w:ind w:firstLine="480"/>
              <w:rPr>
                <w:szCs w:val="21"/>
              </w:rPr>
            </w:pPr>
            <w:r>
              <w:rPr>
                <w:sz w:val="24"/>
              </w:rPr>
              <w:t>4.74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C3H8</w:t>
            </w:r>
          </w:p>
        </w:tc>
        <w:tc>
          <w:tcPr>
            <w:tcW w:w="1888" w:type="dxa"/>
            <w:vAlign w:val="center"/>
          </w:tcPr>
          <w:p>
            <w:pPr>
              <w:pStyle w:val="6"/>
              <w:ind w:firstLine="480"/>
              <w:rPr>
                <w:szCs w:val="21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IC4H10</w:t>
            </w:r>
          </w:p>
        </w:tc>
        <w:tc>
          <w:tcPr>
            <w:tcW w:w="1888" w:type="dxa"/>
            <w:vAlign w:val="center"/>
          </w:tcPr>
          <w:p>
            <w:pPr>
              <w:pStyle w:val="6"/>
              <w:ind w:firstLine="480"/>
              <w:rPr>
                <w:szCs w:val="21"/>
              </w:rPr>
            </w:pPr>
            <w:r>
              <w:rPr>
                <w:sz w:val="24"/>
              </w:rPr>
              <w:t>0.57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C4H10</w:t>
            </w:r>
          </w:p>
        </w:tc>
        <w:tc>
          <w:tcPr>
            <w:tcW w:w="1888" w:type="dxa"/>
            <w:vAlign w:val="center"/>
          </w:tcPr>
          <w:p>
            <w:pPr>
              <w:pStyle w:val="6"/>
              <w:ind w:firstLine="480"/>
              <w:rPr>
                <w:szCs w:val="21"/>
              </w:rPr>
            </w:pPr>
            <w:r>
              <w:rPr>
                <w:sz w:val="24"/>
              </w:rPr>
              <w:t>0.54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</w:t>
            </w:r>
            <w:r>
              <w:rPr>
                <w:szCs w:val="21"/>
              </w:rPr>
              <w:t>C5H12</w:t>
            </w:r>
          </w:p>
        </w:tc>
        <w:tc>
          <w:tcPr>
            <w:tcW w:w="1888" w:type="dxa"/>
            <w:vAlign w:val="center"/>
          </w:tcPr>
          <w:p>
            <w:pPr>
              <w:pStyle w:val="6"/>
              <w:ind w:firstLine="480"/>
              <w:rPr>
                <w:szCs w:val="21"/>
              </w:rPr>
            </w:pPr>
            <w:r>
              <w:rPr>
                <w:sz w:val="24"/>
              </w:rPr>
              <w:t>0.01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5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高位发热量（</w:t>
            </w:r>
            <w:r>
              <w:rPr>
                <w:szCs w:val="21"/>
              </w:rPr>
              <w:t>MJ/Nm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76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43.1（20℃）</w:t>
            </w:r>
          </w:p>
        </w:tc>
      </w:tr>
    </w:tbl>
    <w:p>
      <w:pPr>
        <w:adjustRightInd w:val="0"/>
        <w:snapToGrid w:val="0"/>
        <w:ind w:left="1021" w:hanging="539"/>
        <w:rPr>
          <w:rFonts w:ascii="宋体" w:hAnsi="宋体"/>
          <w:sz w:val="15"/>
          <w:szCs w:val="15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2）、烃露点和水露点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烃露点：＜-18℃；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水露点：＜-18℃。</w:t>
      </w:r>
    </w:p>
    <w:p>
      <w:pPr>
        <w:rPr>
          <w:rFonts w:ascii="宋体" w:hAnsi="宋体"/>
          <w:b/>
          <w:sz w:val="24"/>
          <w:szCs w:val="24"/>
        </w:rPr>
      </w:pPr>
    </w:p>
    <w:p>
      <w:pPr>
        <w:pStyle w:val="3"/>
        <w:adjustRightInd w:val="0"/>
        <w:snapToGrid w:val="0"/>
        <w:spacing w:before="0" w:after="0"/>
        <w:rPr>
          <w:rFonts w:ascii="宋体" w:hAnsi="宋体"/>
          <w:kern w:val="44"/>
          <w:sz w:val="24"/>
          <w:szCs w:val="24"/>
        </w:rPr>
      </w:pPr>
      <w:r>
        <w:rPr>
          <w:rFonts w:hint="eastAsia" w:ascii="宋体" w:hAnsi="宋体"/>
          <w:kern w:val="44"/>
          <w:sz w:val="24"/>
          <w:szCs w:val="24"/>
        </w:rPr>
        <w:t xml:space="preserve">3. </w:t>
      </w:r>
      <w:r>
        <w:rPr>
          <w:rFonts w:ascii="宋体" w:hAnsi="宋体"/>
          <w:kern w:val="44"/>
          <w:sz w:val="24"/>
          <w:szCs w:val="24"/>
        </w:rPr>
        <w:t>技术标准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LNG储罐</w:t>
      </w:r>
      <w:r>
        <w:rPr>
          <w:rFonts w:ascii="宋体" w:hAnsi="宋体"/>
          <w:sz w:val="24"/>
          <w:szCs w:val="24"/>
        </w:rPr>
        <w:t>所采用的规范及标准是指所供设备和材料在设计、制造、检验、包装及运输过程中需满足的最低标准。也可采用与本技术规范所指定的标准相当或更高的标准。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标准选用的版本应是正在执行的有效版本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设备供货商应提供所采用标准清单</w:t>
      </w:r>
      <w:r>
        <w:rPr>
          <w:rFonts w:hint="eastAsia" w:ascii="宋体" w:hAnsi="宋体"/>
          <w:sz w:val="24"/>
          <w:szCs w:val="24"/>
        </w:rPr>
        <w:t>，并应保证其版本为截止到本技术规格书发布时的最新版本（包括修正版）。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  <w:sectPr>
          <w:footerReference r:id="rId13" w:type="first"/>
          <w:footerReference r:id="rId12" w:type="default"/>
          <w:pgSz w:w="11906" w:h="16838"/>
          <w:pgMar w:top="1418" w:right="1531" w:bottom="1246" w:left="1531" w:header="851" w:footer="851" w:gutter="0"/>
          <w:cols w:space="720" w:num="1"/>
          <w:titlePg/>
          <w:docGrid w:type="linesAndChars" w:linePitch="312" w:charSpace="0"/>
        </w:sectPr>
      </w:pPr>
      <w:r>
        <w:rPr>
          <w:rFonts w:ascii="宋体" w:hAnsi="宋体"/>
          <w:sz w:val="24"/>
          <w:szCs w:val="24"/>
        </w:rPr>
        <w:t>参考标准及规范如下</w:t>
      </w:r>
      <w:r>
        <w:rPr>
          <w:rFonts w:hint="eastAsia" w:ascii="宋体" w:hAnsi="宋体"/>
          <w:sz w:val="24"/>
          <w:szCs w:val="24"/>
        </w:rPr>
        <w:t>，凡未注明日期的引用文件，其最新版本适用于本技术文件，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下同：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TSG 21《固定式压力容器安全技术监察规程》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TSG D0001《压力管道安全技术监察规程—工业管道》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GB50016《建筑设计防火规范》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GB55009《燃气工程项目规范》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GB50028《城镇燃气设计规范》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 20368《液化天然气（LNG）生产、储存和装运标准》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 20801.1~20801.6《压力管道规范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工业管道》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GB50316《工业金属管道设计规范》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GB50264《工业设备及管道绝热工程设计规范》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GB50235《工业金属管道工程施工规范》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GB50236《现场设备、工业管道焊接工程施工规范》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GB50540《石油天然气站内工艺管道工程施工规范》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GB50184《工业金属管道工程施工质量验收规范》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GB50683《现场设备、工业管道焊接工程施工质量验收规范》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GB50093《工业自动化仪表工程施工及验收规范》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GB150.1~150.4《压力容器》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GB18442.1~6《固定式真空绝热深冷压力容器》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GB/T151《热交换器》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GB/T7306.1~7306.2 《55°密封管螺纹》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GB4208《外壳防护等级（IP代码）》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GB3836.1~3836.9 《爆炸性环境》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 14976《流体输送用不锈钢无缝钢管》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 5310《高压锅炉用无缝钢管》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 8163《输送流体用无缝钢管》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GB/T13401《钢制对焊管件 技术规范》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NB/T47013.1~47013.13</w:t>
      </w:r>
      <w:r>
        <w:rPr>
          <w:rFonts w:ascii="宋体" w:hAnsi="宋体"/>
          <w:sz w:val="24"/>
          <w:szCs w:val="24"/>
        </w:rPr>
        <w:t>《承压设备无损检测》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NB/T47016《承压设备产品焊接试件的力学性能检测》；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JB/T 6898</w:t>
      </w:r>
      <w:r>
        <w:rPr>
          <w:rFonts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</w:rPr>
        <w:t>低温液体贮运设备 使用安全规则</w:t>
      </w:r>
      <w:r>
        <w:rPr>
          <w:rFonts w:ascii="宋体" w:hAnsi="宋体"/>
          <w:sz w:val="24"/>
          <w:szCs w:val="24"/>
        </w:rPr>
        <w:t>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NB/T47014</w:t>
      </w:r>
      <w:r>
        <w:rPr>
          <w:rFonts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</w:rPr>
        <w:t>承压设备焊接工艺评定</w:t>
      </w:r>
      <w:r>
        <w:rPr>
          <w:rFonts w:ascii="宋体" w:hAnsi="宋体"/>
          <w:sz w:val="24"/>
          <w:szCs w:val="24"/>
        </w:rPr>
        <w:t>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NB/T 47015《压力容器焊接规程》；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HG</w:t>
      </w:r>
      <w:r>
        <w:rPr>
          <w:rFonts w:hint="eastAsia" w:ascii="宋体" w:hAnsi="宋体"/>
          <w:sz w:val="24"/>
          <w:szCs w:val="24"/>
        </w:rPr>
        <w:t>/T</w:t>
      </w:r>
      <w:r>
        <w:rPr>
          <w:rFonts w:ascii="宋体" w:hAnsi="宋体"/>
          <w:sz w:val="24"/>
          <w:szCs w:val="24"/>
        </w:rPr>
        <w:t>20585《钢制低温压力容器技术规定》；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SH3501《石油化工有毒、可燃介质钢制管道工程施工及验收规范》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SH/T3525《石油化工低温钢焊接规程》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SH3012《石油化工金属管道布置设计规范》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CJJ33《城镇燃气输配工程施工及验收规范》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JB/T 9077《粉末普通绝热贮槽》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HG/T 20592～20635《钢制管法兰、紧固件、垫片》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经业方和设计方同意后，也可以采用与本技术规格书所指定标准相当或更好的其它标准。在未指定标准的条款中应采用国际和国内公认的标准。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（2）供货范围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·储罐本体(内罐、外罐、</w:t>
      </w:r>
      <w:r>
        <w:rPr>
          <w:rFonts w:hint="eastAsia" w:ascii="宋体" w:hAnsi="宋体"/>
          <w:sz w:val="24"/>
          <w:szCs w:val="24"/>
        </w:rPr>
        <w:t>夹层珠光砂、</w:t>
      </w:r>
      <w:r>
        <w:rPr>
          <w:rFonts w:ascii="宋体" w:hAnsi="宋体"/>
          <w:sz w:val="24"/>
          <w:szCs w:val="24"/>
        </w:rPr>
        <w:t>支腿、储罐内连接管道)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·储罐需配置所有接管的根部阀（一次仪表为完整装置</w:t>
      </w:r>
      <w:r>
        <w:rPr>
          <w:rFonts w:hint="eastAsia" w:ascii="宋体" w:hAnsi="宋体"/>
          <w:sz w:val="24"/>
          <w:szCs w:val="24"/>
        </w:rPr>
        <w:t>，详表二</w:t>
      </w:r>
      <w:r>
        <w:rPr>
          <w:rFonts w:ascii="宋体" w:hAnsi="宋体"/>
          <w:sz w:val="24"/>
          <w:szCs w:val="24"/>
        </w:rPr>
        <w:t>），要求所有接口均引至储罐底部</w:t>
      </w:r>
      <w:r>
        <w:rPr>
          <w:rFonts w:hint="eastAsia" w:ascii="宋体" w:hAnsi="宋体"/>
          <w:sz w:val="24"/>
          <w:szCs w:val="24"/>
        </w:rPr>
        <w:t>，管口朝向一个方向；</w:t>
      </w:r>
      <w:r>
        <w:rPr>
          <w:rFonts w:ascii="宋体" w:hAnsi="宋体"/>
          <w:sz w:val="24"/>
          <w:szCs w:val="24"/>
        </w:rPr>
        <w:t>根部阀由储罐厂家在工厂进行焊接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·差压变送器</w:t>
      </w:r>
      <w:r>
        <w:rPr>
          <w:rFonts w:hint="eastAsia" w:ascii="宋体" w:hAnsi="宋体"/>
          <w:sz w:val="24"/>
          <w:szCs w:val="24"/>
        </w:rPr>
        <w:t>，需</w:t>
      </w:r>
      <w:r>
        <w:rPr>
          <w:rFonts w:ascii="宋体" w:hAnsi="宋体"/>
          <w:sz w:val="24"/>
          <w:szCs w:val="24"/>
        </w:rPr>
        <w:t>配取压阀组和引压导管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·压力变送器</w:t>
      </w:r>
      <w:r>
        <w:rPr>
          <w:rFonts w:hint="eastAsia" w:ascii="宋体" w:hAnsi="宋体"/>
          <w:sz w:val="24"/>
          <w:szCs w:val="24"/>
        </w:rPr>
        <w:t>，需</w:t>
      </w:r>
      <w:r>
        <w:rPr>
          <w:rFonts w:ascii="宋体" w:hAnsi="宋体"/>
          <w:sz w:val="24"/>
          <w:szCs w:val="24"/>
        </w:rPr>
        <w:t>配取压阀和引压导管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油漆</w:t>
      </w:r>
      <w:r>
        <w:rPr>
          <w:rFonts w:hint="eastAsia" w:ascii="宋体" w:hAnsi="宋体"/>
          <w:sz w:val="24"/>
          <w:szCs w:val="24"/>
        </w:rPr>
        <w:t>，为底漆一道，中间漆一道，面漆一道；底漆采用环氧富锌底漆，防锈漆采用高固态环氧云铁防锈漆，面漆采用丙烯酸聚氨酯漆，总干膜厚度≥200μm；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·配套地脚螺栓及双螺母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地脚螺栓材料：</w:t>
      </w:r>
      <w:r>
        <w:rPr>
          <w:rFonts w:hint="eastAsia" w:ascii="宋体" w:hAnsi="宋体"/>
          <w:sz w:val="24"/>
          <w:szCs w:val="24"/>
        </w:rPr>
        <w:t>Q345；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·备品备件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详见备品备件清空单</w:t>
      </w:r>
      <w:r>
        <w:rPr>
          <w:rFonts w:hint="eastAsia" w:ascii="宋体" w:hAnsi="宋体"/>
          <w:sz w:val="24"/>
          <w:szCs w:val="24"/>
        </w:rPr>
        <w:t>（表四）。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此外，供货商应提供以下设计文件：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1）设计计算书（至少包括容积计算、受压元件承载能力计算、支撑结构承载能力计算、安全卸放装置的卸放能力计算等）；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2）设计图样（至少包括总图、随罐配管流程图）；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3）设计说明书；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4）制造技术条件；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5）安装与使用维护说明书；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6）风险评估报告。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）储罐主要技术性能</w:t>
      </w:r>
      <w:r>
        <w:rPr>
          <w:rFonts w:hint="eastAsia" w:ascii="宋体" w:hAnsi="宋体"/>
          <w:sz w:val="24"/>
          <w:szCs w:val="24"/>
        </w:rPr>
        <w:t>（表一）</w:t>
      </w:r>
    </w:p>
    <w:tbl>
      <w:tblPr>
        <w:tblStyle w:val="12"/>
        <w:tblW w:w="88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9"/>
        <w:gridCol w:w="841"/>
        <w:gridCol w:w="1800"/>
        <w:gridCol w:w="47"/>
        <w:gridCol w:w="1995"/>
        <w:gridCol w:w="19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项 目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指标（参数）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备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容器类别</w:t>
            </w:r>
          </w:p>
        </w:tc>
        <w:tc>
          <w:tcPr>
            <w:tcW w:w="8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内容器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外壳</w:t>
            </w:r>
          </w:p>
        </w:tc>
        <w:tc>
          <w:tcPr>
            <w:tcW w:w="1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立式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3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Ⅱ</w:t>
            </w:r>
            <w:r>
              <w:rPr>
                <w:rFonts w:ascii="宋体" w:hAnsi="宋体"/>
                <w:bCs/>
                <w:sz w:val="24"/>
                <w:szCs w:val="24"/>
              </w:rPr>
              <w:t>类</w:t>
            </w:r>
          </w:p>
        </w:tc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充装介质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LNG</w:t>
            </w: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珠光砂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最高</w:t>
            </w:r>
            <w:r>
              <w:rPr>
                <w:rFonts w:ascii="宋体" w:hAnsi="宋体"/>
                <w:bCs/>
                <w:sz w:val="24"/>
                <w:szCs w:val="24"/>
              </w:rPr>
              <w:t>工作压力</w:t>
            </w:r>
          </w:p>
        </w:tc>
        <w:tc>
          <w:tcPr>
            <w:tcW w:w="8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MPa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0.80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真空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设计压力</w:t>
            </w:r>
          </w:p>
        </w:tc>
        <w:tc>
          <w:tcPr>
            <w:tcW w:w="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0.84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-0.1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气密性试验压力</w:t>
            </w:r>
          </w:p>
        </w:tc>
        <w:tc>
          <w:tcPr>
            <w:tcW w:w="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1.03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氦检漏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安全阀开启压力</w:t>
            </w:r>
          </w:p>
        </w:tc>
        <w:tc>
          <w:tcPr>
            <w:tcW w:w="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0.84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安全阀规格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3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DN25，PN40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低温弹簧全启式安全阀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几何容积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m3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150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66.8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充满率9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0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设计温度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℃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-196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工作温度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℃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-162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环境温度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静态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日蒸发率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%/d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≤0.2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25液氮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/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真空夹层漏放气速率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Pa·m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/s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≤2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×10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封结真空度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Pa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/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主体材料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ascii="仿宋_GB2312" w:eastAsia="仿宋_GB2312"/>
                <w:bCs/>
                <w:color w:val="auto"/>
                <w:szCs w:val="21"/>
              </w:rPr>
              <w:t>0</w:t>
            </w:r>
            <w:r>
              <w:rPr>
                <w:rFonts w:hint="eastAsia" w:ascii="仿宋_GB2312" w:eastAsia="仿宋_GB2312"/>
                <w:bCs/>
                <w:color w:val="auto"/>
                <w:szCs w:val="21"/>
              </w:rPr>
              <w:t>6</w:t>
            </w:r>
            <w:r>
              <w:rPr>
                <w:rFonts w:ascii="仿宋_GB2312" w:eastAsia="仿宋_GB2312"/>
                <w:bCs/>
                <w:color w:val="auto"/>
                <w:szCs w:val="21"/>
              </w:rPr>
              <w:t>Cr1</w:t>
            </w:r>
            <w:r>
              <w:rPr>
                <w:rFonts w:hint="eastAsia" w:ascii="仿宋_GB2312" w:eastAsia="仿宋_GB2312"/>
                <w:bCs/>
                <w:color w:val="auto"/>
                <w:szCs w:val="21"/>
              </w:rPr>
              <w:t>9</w:t>
            </w:r>
            <w:r>
              <w:rPr>
                <w:rFonts w:ascii="仿宋_GB2312" w:eastAsia="仿宋_GB2312"/>
                <w:bCs/>
                <w:color w:val="auto"/>
                <w:szCs w:val="21"/>
              </w:rPr>
              <w:t>Ni</w:t>
            </w:r>
            <w:r>
              <w:rPr>
                <w:rFonts w:hint="eastAsia" w:ascii="仿宋_GB2312" w:eastAsia="仿宋_GB2312"/>
                <w:bCs/>
                <w:color w:val="auto"/>
                <w:szCs w:val="21"/>
              </w:rPr>
              <w:t>10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（GB/T 24511-2017）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ascii="宋体" w:hAnsi="宋体"/>
                <w:bCs/>
                <w:color w:val="auto"/>
                <w:szCs w:val="21"/>
              </w:rPr>
              <w:t>Q345R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（GB/T713-2014）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焊接接头系数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1.0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0.85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射线无损检测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 xml:space="preserve">100%RT按 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NB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/T47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013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.2-20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Ⅱ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级合格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20%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R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T按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NB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/T47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013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.2-20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Ⅲ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级合格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，最后合拢缝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20%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UT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Ⅱ</w:t>
            </w: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级合格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(A、B类)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腐蚀裕量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mm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绝热形式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3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真空粉末绝热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说明：几何容积是指：内容器盛装水的最大体积，单位为立方米（m</w:t>
      </w:r>
      <w:r>
        <w:rPr>
          <w:rFonts w:hint="eastAsia" w:ascii="宋体" w:hAnsi="宋体"/>
          <w:color w:val="auto"/>
          <w:sz w:val="24"/>
          <w:szCs w:val="24"/>
          <w:vertAlign w:val="superscript"/>
        </w:rPr>
        <w:t>3</w:t>
      </w:r>
      <w:r>
        <w:rPr>
          <w:rFonts w:ascii="宋体" w:hAnsi="宋体"/>
          <w:color w:val="auto"/>
          <w:sz w:val="24"/>
          <w:szCs w:val="24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.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（</w:t>
      </w:r>
      <w:r>
        <w:rPr>
          <w:rFonts w:hint="eastAsia" w:ascii="宋体" w:hAnsi="宋体"/>
          <w:color w:val="auto"/>
          <w:sz w:val="24"/>
          <w:szCs w:val="24"/>
        </w:rPr>
        <w:t>4</w:t>
      </w:r>
      <w:r>
        <w:rPr>
          <w:rFonts w:ascii="宋体" w:hAnsi="宋体"/>
          <w:color w:val="auto"/>
          <w:sz w:val="24"/>
          <w:szCs w:val="24"/>
        </w:rPr>
        <w:t>）设备设计及制造要求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1）储罐设计时应采用成熟结构、保证设备强度的可靠性和设备的最小漏热量。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2）内罐及其支撑为耐超低温结构体。制造时应有焊接工艺评定及做焊接试板力学性能检验，同时还将经受真空检漏，包括氦质谱真空检漏考核，以符合真空绝热要求。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）外罐是为了满足夹层真空粉末绝热要求而设计的保护壳。外罐属于真空外压容器。对外罐的检验进行真空检查，包括氦质谱真空检漏考核，以符合真空绝热要求。外罐上方安装有外罐安全泄放口，以保证外罐安全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4）夹层内将填装优质专用珠光砂保冷材料用于保冷（珠光砂须经干燥处理），夹层内还设置有抽真空管道。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5）内外罐间安装有内外罐的固定装置：固定装置将满足生产、运输、使用过程强度、稳定性需要及绝热保冷需要。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6）所有的操作阀门、仪表都安装在下端封头上。运输时应</w:t>
      </w:r>
      <w:r>
        <w:rPr>
          <w:rFonts w:hint="eastAsia" w:ascii="宋体" w:hAnsi="宋体"/>
          <w:sz w:val="24"/>
          <w:szCs w:val="24"/>
        </w:rPr>
        <w:t>采取适当的保护措施。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7）设备管口方位：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所有接口均引至储罐底部</w:t>
      </w:r>
      <w:r>
        <w:rPr>
          <w:rFonts w:hint="eastAsia" w:ascii="宋体" w:hAnsi="宋体"/>
          <w:sz w:val="24"/>
          <w:szCs w:val="24"/>
        </w:rPr>
        <w:t>，管口朝向一个方向；采用上、下两个进料口(DN50)，所有进出料管均从端部封头引出；引出管与外罐封头的结构形式要适用低温工况及减小LNG接管的温差应力。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8）</w:t>
      </w:r>
      <w:r>
        <w:rPr>
          <w:rFonts w:ascii="宋体" w:hAnsi="宋体"/>
          <w:sz w:val="24"/>
          <w:szCs w:val="24"/>
        </w:rPr>
        <w:t>所有管道均需去油处理，管腔脱脂按 JB/T6896《空气分离设备表面清洁度》的有关测定方法和评定规则进行，忌油零件的表面油脂残留率≤125mg/m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。产品合格后，用干燥氮气吹扫掉管腔内水分和杂质，并以 0.03~0.05MPa 保压封口。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9）不锈钢内外表面作酸洗脱脂去污处理；碳钢内外表面作喷砂除锈处理达Sa2.5级。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10）</w:t>
      </w:r>
      <w:r>
        <w:rPr>
          <w:rFonts w:ascii="宋体" w:hAnsi="宋体"/>
          <w:sz w:val="24"/>
          <w:szCs w:val="24"/>
        </w:rPr>
        <w:t>储罐外部标志（图像及尺寸）及油漆喷涂要求由招标人提供。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11）珠光砂性能要求：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导热系数（在常压下、温度77K~310K时的平均值）：不大于0.03W（m·K）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粒度：0.1mm~1.2mm；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堆积密度：30kg/m3~60kg/m3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含水量：≤0.3%（质量比）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储罐内容器和外壳的主要工序</w:t>
      </w:r>
      <w:r>
        <w:rPr>
          <w:rFonts w:hint="eastAsia" w:ascii="Arial" w:hAnsi="Arial" w:cs="Arial"/>
          <w:sz w:val="24"/>
          <w:szCs w:val="24"/>
          <w:shd w:val="clear" w:color="auto" w:fill="FFFFFF"/>
        </w:rPr>
        <w:t>（</w:t>
      </w:r>
      <w:r>
        <w:rPr>
          <w:rFonts w:ascii="Arial" w:hAnsi="Arial" w:cs="Arial"/>
          <w:sz w:val="24"/>
          <w:szCs w:val="24"/>
          <w:shd w:val="clear" w:color="auto" w:fill="FFFFFF"/>
        </w:rPr>
        <w:t>如卷制、组对、焊接、探伤、套合、珠光砂填充、抽真空等</w:t>
      </w:r>
      <w:r>
        <w:rPr>
          <w:rFonts w:hint="eastAsia" w:ascii="Arial" w:hAnsi="Arial" w:cs="Arial"/>
          <w:sz w:val="24"/>
          <w:szCs w:val="24"/>
          <w:shd w:val="clear" w:color="auto" w:fill="FFFFFF"/>
        </w:rPr>
        <w:t>）</w:t>
      </w:r>
      <w:r>
        <w:rPr>
          <w:rFonts w:ascii="Arial" w:hAnsi="Arial" w:cs="Arial"/>
          <w:sz w:val="24"/>
          <w:szCs w:val="24"/>
          <w:shd w:val="clear" w:color="auto" w:fill="FFFFFF"/>
        </w:rPr>
        <w:t>不得分包。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hint="eastAsia" w:ascii="Arial" w:hAnsi="Arial" w:cs="Arial"/>
          <w:sz w:val="24"/>
          <w:szCs w:val="24"/>
          <w:shd w:val="clear" w:color="auto" w:fill="FFFFFF"/>
        </w:rPr>
        <w:t>外罐出厂前应配备消防喷淋焊接垫板，储罐制作前需与设计院确认垫板位置.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hint="eastAsia" w:ascii="Arial" w:hAnsi="Arial" w:cs="Arial"/>
          <w:sz w:val="24"/>
          <w:szCs w:val="24"/>
          <w:shd w:val="clear" w:color="auto" w:fill="FFFFFF"/>
        </w:rPr>
        <w:t>储罐应具备温度显示检测装置，并具有超限报警功能。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t>（5）</w:t>
      </w:r>
      <w:r>
        <w:rPr>
          <w:rFonts w:hint="eastAsia" w:ascii="宋体" w:hAnsi="宋体"/>
          <w:sz w:val="24"/>
          <w:szCs w:val="24"/>
        </w:rPr>
        <w:t>储罐阀清单如下表所示（表二）及下图所示：</w:t>
      </w:r>
    </w:p>
    <w:p>
      <w:pPr>
        <w:adjustRightInd w:val="0"/>
        <w:snapToGrid w:val="0"/>
        <w:spacing w:line="360" w:lineRule="auto"/>
        <w:rPr>
          <w:rFonts w:ascii="仿宋_GB2312" w:hAnsi="Verdana" w:eastAsia="仿宋_GB2312"/>
          <w:sz w:val="28"/>
          <w:szCs w:val="28"/>
        </w:rPr>
      </w:pPr>
      <w:r>
        <w:drawing>
          <wp:inline distT="0" distB="0" distL="114300" distR="114300">
            <wp:extent cx="2389505" cy="3145155"/>
            <wp:effectExtent l="0" t="0" r="10795" b="1714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314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2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10"/>
        <w:gridCol w:w="1984"/>
        <w:gridCol w:w="27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代号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规格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V-1a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低温长轴截止阀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DN50、PN40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进口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V-2a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低温长轴截止阀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DN50、PN40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进口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V-3a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低温长轴截止阀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DN50、PN40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进口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V-4a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低温长轴截止阀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DN50、PN40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进口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V-5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插入式低温长轴截止阀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DN15、PN40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进口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V-8a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液位显示气相阀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NPT1/4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V-8b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液位显示液相阀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NPT1/4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V-8c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液位显示均衡阀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NPT1/4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LG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液位计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0~15000mmH2O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PG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压力表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0~1.6MPa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LT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差压变送器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0~100kPa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二线制4~20mA标准信号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PT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压力变送器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0~1.6MPa</w:t>
            </w:r>
          </w:p>
        </w:tc>
        <w:tc>
          <w:tcPr>
            <w:tcW w:w="2744" w:type="dxa"/>
          </w:tcPr>
          <w:p>
            <w:r>
              <w:rPr>
                <w:rFonts w:hint="eastAsia"/>
              </w:rPr>
              <w:t>二线制4~20mA标准信号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V-9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真空隔离阀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1/8</w:t>
            </w:r>
            <w:r>
              <w:t>”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VR-1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真空规管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1/8</w:t>
            </w:r>
            <w:r>
              <w:t>”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VP-1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抽真空装置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DN50</w:t>
            </w:r>
          </w:p>
        </w:tc>
        <w:tc>
          <w:tcPr>
            <w:tcW w:w="27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r>
              <w:rPr>
                <w:rFonts w:hint="eastAsia"/>
              </w:rPr>
              <w:t>FB-1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外壳防爆装置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φ108</w:t>
            </w:r>
          </w:p>
        </w:tc>
        <w:tc>
          <w:tcPr>
            <w:tcW w:w="2744" w:type="dxa"/>
          </w:tcPr>
          <w:p/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）储罐接口明细如下表所示</w:t>
      </w:r>
      <w:r>
        <w:rPr>
          <w:rFonts w:hint="eastAsia" w:ascii="宋体" w:hAnsi="宋体"/>
          <w:sz w:val="24"/>
          <w:szCs w:val="24"/>
        </w:rPr>
        <w:t>（表三）：</w:t>
      </w:r>
    </w:p>
    <w:tbl>
      <w:tblPr>
        <w:tblStyle w:val="12"/>
        <w:tblW w:w="6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1"/>
        <w:gridCol w:w="1466"/>
        <w:gridCol w:w="2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接口类型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管口尺寸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上进液口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57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LNG槽车进液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下进液口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57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LNG槽车进液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出液口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57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LNG提液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气相返回口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57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BOG气相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溢流口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18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气相高位口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14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液相高位口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14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抽真空口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DN50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测真空口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1/8″NPT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防爆口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108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珠光砂填充口</w:t>
            </w:r>
          </w:p>
        </w:tc>
        <w:tc>
          <w:tcPr>
            <w:tcW w:w="14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109</w:t>
            </w:r>
          </w:p>
        </w:tc>
        <w:tc>
          <w:tcPr>
            <w:tcW w:w="20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（7）单台储罐的备品备件（表四）</w:t>
      </w:r>
    </w:p>
    <w:tbl>
      <w:tblPr>
        <w:tblStyle w:val="12"/>
        <w:tblW w:w="84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430"/>
        <w:gridCol w:w="1995"/>
        <w:gridCol w:w="1845"/>
        <w:gridCol w:w="1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199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84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12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4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取压用针形阀</w:t>
            </w:r>
          </w:p>
        </w:tc>
        <w:tc>
          <w:tcPr>
            <w:tcW w:w="199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不锈钢针形阀</w:t>
            </w:r>
          </w:p>
        </w:tc>
        <w:tc>
          <w:tcPr>
            <w:tcW w:w="184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DN10</w:t>
            </w:r>
          </w:p>
        </w:tc>
        <w:tc>
          <w:tcPr>
            <w:tcW w:w="12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43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差压变送器取压三阀组</w:t>
            </w:r>
          </w:p>
        </w:tc>
        <w:tc>
          <w:tcPr>
            <w:tcW w:w="199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autoSpaceDN w:val="0"/>
              <w:spacing w:after="15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3</w:t>
            </w: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b/>
          <w:bCs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>）储罐仪表及流程要求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每台 LNG 储罐设</w:t>
      </w:r>
      <w:r>
        <w:rPr>
          <w:rFonts w:hint="eastAsia" w:ascii="宋体" w:hAnsi="宋体"/>
          <w:sz w:val="24"/>
          <w:szCs w:val="24"/>
        </w:rPr>
        <w:t>进口</w:t>
      </w:r>
      <w:r>
        <w:rPr>
          <w:rFonts w:ascii="宋体" w:hAnsi="宋体"/>
          <w:sz w:val="24"/>
          <w:szCs w:val="24"/>
        </w:rPr>
        <w:t>液位计一套及差压变送器、压力变送器、压力表</w:t>
      </w:r>
      <w:r>
        <w:rPr>
          <w:rFonts w:hint="eastAsia" w:ascii="宋体" w:hAnsi="宋体"/>
          <w:sz w:val="24"/>
          <w:szCs w:val="24"/>
        </w:rPr>
        <w:t>（0~1.6MPa）</w:t>
      </w:r>
      <w:r>
        <w:rPr>
          <w:rFonts w:ascii="宋体" w:hAnsi="宋体"/>
          <w:sz w:val="24"/>
          <w:szCs w:val="24"/>
        </w:rPr>
        <w:t>各一套，以实现对储罐内 LNG 液位、压力的现场指示及远传控制。压力变送器与压力表的安装必须便于现场观测。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储罐所有接管应采用06Cr19Ni10材质无缝钢管</w:t>
      </w:r>
      <w:r>
        <w:rPr>
          <w:rFonts w:hint="eastAsia" w:ascii="宋体" w:hAnsi="宋体"/>
          <w:sz w:val="24"/>
          <w:szCs w:val="24"/>
        </w:rPr>
        <w:t>（GB/T14976）</w:t>
      </w:r>
      <w:r>
        <w:rPr>
          <w:rFonts w:ascii="宋体" w:hAnsi="宋体"/>
          <w:sz w:val="24"/>
          <w:szCs w:val="24"/>
        </w:rPr>
        <w:t>，接管为焊接方式。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与储罐相连的第一道阀门要求采用进口阀门，其他低温阀门要求采用国产优质阀门。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储罐采用进口真空规管。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b/>
          <w:bCs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>）储罐质量保证期：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真空度质保期为36个月；根部阀等阀门及仪表附件的质保期为1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个月。储罐需根据国家相关规范标准的要求设置相应的安全装置。储罐外罐表面要求进行彻底的除锈处理，并确保外表油漆至少三年内不变质、褪色</w:t>
      </w:r>
      <w:r>
        <w:rPr>
          <w:rFonts w:hint="eastAsia" w:ascii="宋体" w:hAnsi="宋体"/>
          <w:sz w:val="24"/>
          <w:szCs w:val="24"/>
        </w:rPr>
        <w:t>、脱落</w:t>
      </w:r>
      <w:r>
        <w:rPr>
          <w:rFonts w:ascii="宋体" w:hAnsi="宋体"/>
          <w:sz w:val="24"/>
          <w:szCs w:val="24"/>
        </w:rPr>
        <w:t>。储罐使用寿命不低于</w:t>
      </w:r>
      <w:r>
        <w:rPr>
          <w:rFonts w:hint="eastAsia" w:ascii="宋体" w:hAnsi="宋体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年。</w:t>
      </w:r>
    </w:p>
    <w:p/>
    <w:p>
      <w:pPr>
        <w:tabs>
          <w:tab w:val="left" w:pos="315"/>
        </w:tabs>
      </w:pPr>
      <w:r>
        <w:tab/>
      </w:r>
    </w:p>
    <w:sectPr>
      <w:footerReference r:id="rId1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lang w:val="zh-CN"/>
      </w:rPr>
      <w:t xml:space="preserve"> </w:t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/>
    </w:pPr>
    <w:r>
      <w:rPr>
        <w:rFonts w:hint="eastAsia"/>
      </w:rPr>
      <w:t xml:space="preserve">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 w:right="360"/>
      <w:jc w:val="center"/>
    </w:pPr>
    <w:r>
      <w:pict>
        <v:shape id="文本框 32" o:spid="_x0000_s307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ind w:left="420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9"/>
      <w:ind w:left="420"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/>
    </w:pPr>
    <w:r>
      <w:pict>
        <v:shape id="文本框 33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 xml:space="preserve">                                         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 w:right="360"/>
      <w:jc w:val="center"/>
    </w:pPr>
    <w:r>
      <w:pict>
        <v:shape id="文本框 34" o:spid="_x0000_s3077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/>
    </w:pPr>
    <w:r>
      <w:pict>
        <v:shape id="文本框 35" o:spid="_x0000_s307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 xml:space="preserve">                                          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20" w:right="360"/>
      <w:jc w:val="center"/>
    </w:pPr>
    <w:r>
      <w:fldChar w:fldCharType="begin"/>
    </w:r>
    <w:r>
      <w:rPr>
        <w:rStyle w:val="14"/>
      </w:rPr>
      <w:instrText xml:space="preserve"> PAGE </w:instrText>
    </w:r>
    <w:r>
      <w:fldChar w:fldCharType="separate"/>
    </w:r>
    <w:r>
      <w:rPr>
        <w:rStyle w:val="14"/>
      </w:rPr>
      <w:t>8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</w:pPr>
    <w:r>
      <w:rPr>
        <w:rFonts w:hint="eastAsia"/>
        <w:lang w:eastAsia="zh-CN"/>
      </w:rPr>
      <w:t>翁源</w:t>
    </w:r>
    <w:r>
      <w:rPr>
        <w:rFonts w:hint="eastAsia"/>
      </w:rPr>
      <w:t>县管道天然气门户站及配套设施建设项目LNG储罐采购招标文件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91EECB"/>
    <w:multiLevelType w:val="singleLevel"/>
    <w:tmpl w:val="3191EECB"/>
    <w:lvl w:ilvl="0" w:tentative="0">
      <w:start w:val="12"/>
      <w:numFmt w:val="decimal"/>
      <w:suff w:val="nothing"/>
      <w:lvlText w:val="%1）"/>
      <w:lvlJc w:val="left"/>
    </w:lvl>
  </w:abstractNum>
  <w:abstractNum w:abstractNumId="1">
    <w:nsid w:val="40EA0B9C"/>
    <w:multiLevelType w:val="multilevel"/>
    <w:tmpl w:val="40EA0B9C"/>
    <w:lvl w:ilvl="0" w:tentative="0">
      <w:start w:val="1"/>
      <w:numFmt w:val="bullet"/>
      <w:lvlText w:val=""/>
      <w:lvlJc w:val="left"/>
      <w:pPr>
        <w:tabs>
          <w:tab w:val="left" w:pos="980"/>
        </w:tabs>
        <w:ind w:left="9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I4NjkyZDZlOThiNzM2MTYxNTM2NmY4MzFhN2FlMzYifQ=="/>
  </w:docVars>
  <w:rsids>
    <w:rsidRoot w:val="00962F81"/>
    <w:rsid w:val="000A201B"/>
    <w:rsid w:val="000D7F33"/>
    <w:rsid w:val="001C3994"/>
    <w:rsid w:val="001F3E02"/>
    <w:rsid w:val="00222779"/>
    <w:rsid w:val="002507D4"/>
    <w:rsid w:val="00340264"/>
    <w:rsid w:val="00376B35"/>
    <w:rsid w:val="00380E08"/>
    <w:rsid w:val="003E0C2A"/>
    <w:rsid w:val="00441D05"/>
    <w:rsid w:val="005A7DBF"/>
    <w:rsid w:val="008C0E8F"/>
    <w:rsid w:val="008D3BBC"/>
    <w:rsid w:val="008D3FBA"/>
    <w:rsid w:val="00935782"/>
    <w:rsid w:val="00962F81"/>
    <w:rsid w:val="009A73C2"/>
    <w:rsid w:val="00A5488F"/>
    <w:rsid w:val="00B102D5"/>
    <w:rsid w:val="00B457C4"/>
    <w:rsid w:val="00BB34CB"/>
    <w:rsid w:val="00C23E0B"/>
    <w:rsid w:val="00CD494D"/>
    <w:rsid w:val="00CF65B3"/>
    <w:rsid w:val="00DE7A9C"/>
    <w:rsid w:val="00E9589C"/>
    <w:rsid w:val="00EF40F7"/>
    <w:rsid w:val="00FC1B35"/>
    <w:rsid w:val="3576776E"/>
    <w:rsid w:val="43D72E7B"/>
    <w:rsid w:val="54A53871"/>
    <w:rsid w:val="5C352440"/>
    <w:rsid w:val="6B706076"/>
    <w:rsid w:val="71F212CC"/>
    <w:rsid w:val="78070088"/>
    <w:rsid w:val="7CB57E17"/>
    <w:rsid w:val="7CC3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tabs>
        <w:tab w:val="left" w:pos="540"/>
        <w:tab w:val="left" w:pos="720"/>
      </w:tabs>
      <w:spacing w:before="260" w:after="260" w:line="360" w:lineRule="auto"/>
      <w:jc w:val="center"/>
      <w:outlineLvl w:val="1"/>
    </w:pPr>
    <w:rPr>
      <w:sz w:val="44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6">
    <w:name w:val="Plain Text"/>
    <w:basedOn w:val="1"/>
    <w:link w:val="20"/>
    <w:qFormat/>
    <w:uiPriority w:val="0"/>
    <w:rPr>
      <w:rFonts w:ascii="宋体" w:hAnsi="Courier New" w:cstheme="minorBidi"/>
      <w:szCs w:val="22"/>
    </w:rPr>
  </w:style>
  <w:style w:type="paragraph" w:styleId="7">
    <w:name w:val="Body Text Indent 2"/>
    <w:basedOn w:val="1"/>
    <w:link w:val="24"/>
    <w:qFormat/>
    <w:uiPriority w:val="0"/>
    <w:pPr>
      <w:spacing w:line="480" w:lineRule="exact"/>
      <w:ind w:left="810" w:firstLine="675"/>
    </w:pPr>
    <w:rPr>
      <w:rFonts w:eastAsia="仿宋_GB2312"/>
      <w:sz w:val="30"/>
    </w:rPr>
  </w:style>
  <w:style w:type="paragraph" w:styleId="8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2"/>
    <w:next w:val="1"/>
    <w:link w:val="21"/>
    <w:qFormat/>
    <w:uiPriority w:val="0"/>
    <w:pPr>
      <w:keepNext w:val="0"/>
      <w:widowControl/>
      <w:spacing w:line="360" w:lineRule="auto"/>
      <w:jc w:val="center"/>
    </w:pPr>
    <w:rPr>
      <w:rFonts w:asciiTheme="minorHAnsi" w:hAnsiTheme="minorHAnsi" w:eastAsiaTheme="minorEastAsia"/>
      <w:b w:val="0"/>
      <w:sz w:val="52"/>
      <w:szCs w:val="32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3"/>
    <w:link w:val="10"/>
    <w:semiHidden/>
    <w:qFormat/>
    <w:uiPriority w:val="0"/>
    <w:rPr>
      <w:sz w:val="18"/>
      <w:szCs w:val="18"/>
    </w:rPr>
  </w:style>
  <w:style w:type="character" w:customStyle="1" w:styleId="18">
    <w:name w:val="页脚 Char"/>
    <w:basedOn w:val="13"/>
    <w:link w:val="9"/>
    <w:qFormat/>
    <w:uiPriority w:val="0"/>
    <w:rPr>
      <w:sz w:val="18"/>
      <w:szCs w:val="18"/>
    </w:rPr>
  </w:style>
  <w:style w:type="character" w:customStyle="1" w:styleId="19">
    <w:name w:val="标题 2 Char"/>
    <w:basedOn w:val="13"/>
    <w:link w:val="3"/>
    <w:qFormat/>
    <w:uiPriority w:val="0"/>
    <w:rPr>
      <w:rFonts w:ascii="Times New Roman" w:hAnsi="Times New Roman" w:eastAsia="宋体" w:cs="Times New Roman"/>
      <w:sz w:val="44"/>
      <w:szCs w:val="20"/>
    </w:rPr>
  </w:style>
  <w:style w:type="character" w:customStyle="1" w:styleId="20">
    <w:name w:val="纯文本 Char"/>
    <w:link w:val="6"/>
    <w:qFormat/>
    <w:uiPriority w:val="0"/>
    <w:rPr>
      <w:rFonts w:ascii="宋体" w:hAnsi="Courier New" w:eastAsia="宋体"/>
    </w:rPr>
  </w:style>
  <w:style w:type="character" w:customStyle="1" w:styleId="21">
    <w:name w:val="标题 Char"/>
    <w:link w:val="11"/>
    <w:qFormat/>
    <w:uiPriority w:val="0"/>
    <w:rPr>
      <w:rFonts w:cs="Times New Roman"/>
      <w:bCs/>
      <w:kern w:val="44"/>
      <w:sz w:val="52"/>
      <w:szCs w:val="32"/>
    </w:rPr>
  </w:style>
  <w:style w:type="character" w:customStyle="1" w:styleId="22">
    <w:name w:val="标题 Char1"/>
    <w:basedOn w:val="1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3">
    <w:name w:val="纯文本 Char1"/>
    <w:basedOn w:val="13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4">
    <w:name w:val="正文文本缩进 2 Char"/>
    <w:basedOn w:val="13"/>
    <w:link w:val="7"/>
    <w:qFormat/>
    <w:uiPriority w:val="0"/>
    <w:rPr>
      <w:rFonts w:ascii="Times New Roman" w:hAnsi="Times New Roman" w:eastAsia="仿宋_GB2312" w:cs="Times New Roman"/>
      <w:sz w:val="30"/>
      <w:szCs w:val="20"/>
    </w:rPr>
  </w:style>
  <w:style w:type="character" w:customStyle="1" w:styleId="25">
    <w:name w:val="标题 1 Char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批注文字 Char"/>
    <w:basedOn w:val="13"/>
    <w:link w:val="5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7">
    <w:name w:val="批注框文本 Char"/>
    <w:basedOn w:val="13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75"/>
    <customShpInfo spid="_x0000_s3074"/>
    <customShpInfo spid="_x0000_s3077"/>
    <customShpInfo spid="_x0000_s3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767</Words>
  <Characters>4372</Characters>
  <Lines>36</Lines>
  <Paragraphs>10</Paragraphs>
  <TotalTime>7</TotalTime>
  <ScaleCrop>false</ScaleCrop>
  <LinksUpToDate>false</LinksUpToDate>
  <CharactersWithSpaces>5129</CharactersWithSpaces>
  <Application>WPS Office_11.8.0.16970_F1E327BC-269C-435d-A152-05C5408002CA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2018-06-29T08:19:00Z</dcterms:created>
  <dc:creator>Windows 用户</dc:creator>
  <cp:lastModifiedBy>wpw</cp:lastModifiedBy>
  <dcterms:modified xsi:type="dcterms:W3CDTF">2025-11-24T01:47:44Z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2052-11.8.0.16970</vt:lpwstr>
  </property>
  <property fmtid="{D5CDD505-2E9C-101B-9397-08002B2CF9AE}" pid="3" name="ICV">
    <vt:lpwstr>9B033FD178804CA5B9B3ADB812980C04_12</vt:lpwstr>
  </property>
</Properties>
</file>